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AA7" w:rsidRDefault="00940AA7" w:rsidP="00940AA7"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095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AA7" w:rsidRDefault="00940AA7" w:rsidP="00940AA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>ЗАКЛАД ДОШКІЛЬНОЇ ОСВІТИ(ДИТЯЧИЙ САДОК) «ВЕСЕЛКА» С.ТЕРЕШКІВЦІ ГОРОХІВСЬКОЇ МІСЬКОЇ РАДИ ЛУЦЬКОГО РАЙОНУ ВОЛИНСЬКОЇ ОБЛАСТІ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</w:t>
      </w:r>
    </w:p>
    <w:p w:rsidR="00940AA7" w:rsidRDefault="00940AA7" w:rsidP="00940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НАКАЗ                                                08.01.2025р.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с.Терешківці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№ 5-о</w:t>
      </w:r>
    </w:p>
    <w:p w:rsidR="00940AA7" w:rsidRDefault="00940AA7" w:rsidP="00940AA7">
      <w:pPr>
        <w:pStyle w:val="a3"/>
        <w:spacing w:before="318" w:beforeAutospacing="0" w:after="0" w:afterAutospacing="0"/>
      </w:pPr>
      <w:r>
        <w:rPr>
          <w:color w:val="000000"/>
          <w:sz w:val="28"/>
          <w:szCs w:val="28"/>
        </w:rPr>
        <w:t xml:space="preserve">Про запобігання   випадків </w:t>
      </w:r>
      <w:proofErr w:type="spellStart"/>
      <w:r>
        <w:rPr>
          <w:color w:val="000000"/>
          <w:sz w:val="28"/>
          <w:szCs w:val="28"/>
        </w:rPr>
        <w:t>булінгу</w:t>
      </w:r>
      <w:proofErr w:type="spellEnd"/>
      <w:r>
        <w:rPr>
          <w:color w:val="000000"/>
          <w:sz w:val="28"/>
          <w:szCs w:val="28"/>
        </w:rPr>
        <w:t> </w:t>
      </w:r>
    </w:p>
    <w:p w:rsidR="00940AA7" w:rsidRDefault="00940AA7" w:rsidP="00940AA7">
      <w:pPr>
        <w:spacing w:after="0" w:line="240" w:lineRule="auto"/>
        <w:ind w:left="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ЗДО «Веселка» на 2025 рік</w:t>
      </w:r>
    </w:p>
    <w:p w:rsidR="00940AA7" w:rsidRDefault="00940AA7" w:rsidP="00940AA7">
      <w:pPr>
        <w:spacing w:before="317" w:after="0" w:line="240" w:lineRule="auto"/>
        <w:ind w:left="5" w:right="-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Відповідно до Закону України « Про освіту», «Про дошкільну освіту»,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11 Закону України «Про запобігання та протидію домашньому насильству», на виконання наказу МОН України «Деякі питання реагування на випадки 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 та застосування заходів виховного впливу в закладах освіти»  від 28.12.2019 № 1646 (додаток до листа МОН від 13.04.2020 № 1/9-207), наказу МОН України від 26.02.2020 № 293),</w:t>
      </w:r>
      <w:r>
        <w:rPr>
          <w:rFonts w:ascii="Arial" w:hAnsi="Arial" w:cs="Arial"/>
          <w:color w:val="333333"/>
          <w:sz w:val="18"/>
          <w:szCs w:val="18"/>
          <w:shd w:val="clear" w:color="auto" w:fill="F5FBFD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листа Міністерства освіти і науки України від 29.12.2018 № 1/9-790 «Щодо організації роботи у закладах освіти з питань запобігання і протидії домашньому насильству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»,Листа МОН України від 20.03.2020р № 6/480-20 «Про план заходів, спрямованих на запобігання та протидію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(цькуванню) в закладах освіти», Статуту ЗДО «Веселка»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с.Терешківці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з метою попередження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(цькування), сприяння реалізації прав осіб, постраждалих від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та ефективного реагування на факти насильства в закладі освіти </w:t>
      </w:r>
    </w:p>
    <w:p w:rsidR="00940AA7" w:rsidRDefault="00940AA7" w:rsidP="00940AA7">
      <w:pPr>
        <w:spacing w:before="329" w:after="0" w:line="240" w:lineRule="auto"/>
        <w:ind w:left="71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НАКАЗУЮ: </w:t>
      </w:r>
    </w:p>
    <w:p w:rsidR="00940AA7" w:rsidRDefault="00940AA7" w:rsidP="00940AA7">
      <w:pPr>
        <w:spacing w:before="181" w:after="0" w:line="240" w:lineRule="auto"/>
        <w:ind w:left="31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940AA7" w:rsidRDefault="00940AA7" w:rsidP="00940AA7">
      <w:pPr>
        <w:spacing w:before="9" w:after="0" w:line="240" w:lineRule="auto"/>
        <w:ind w:left="4" w:right="-6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1. Затвердити та ввести в дію план заходів, спрямованих на запобігання та протидію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(цькуванню) в закладі освіти (додаток)</w:t>
      </w:r>
    </w:p>
    <w:p w:rsidR="00940AA7" w:rsidRDefault="00940AA7" w:rsidP="00940AA7">
      <w:pPr>
        <w:spacing w:before="9" w:after="0" w:line="240" w:lineRule="auto"/>
        <w:ind w:left="4" w:right="-6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       </w:t>
      </w:r>
    </w:p>
    <w:p w:rsidR="00940AA7" w:rsidRDefault="00940AA7" w:rsidP="00940AA7">
      <w:pPr>
        <w:spacing w:before="10" w:after="0" w:line="240" w:lineRule="auto"/>
        <w:ind w:right="-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2. Створити постійно діючу комісію з розгляду випадку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(цькування)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складі: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940AA7" w:rsidRDefault="00940AA7" w:rsidP="00940AA7">
      <w:pPr>
        <w:spacing w:before="5" w:after="0" w:line="240" w:lineRule="auto"/>
        <w:ind w:left="1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Голова комісії: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Л.Г.Порванська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 директор 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940AA7" w:rsidRDefault="00940AA7" w:rsidP="00940AA7">
      <w:pPr>
        <w:spacing w:before="11" w:after="0" w:line="240" w:lineRule="auto"/>
        <w:ind w:left="1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члени комісії: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Ю.С.Каплюк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, вихователь;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940AA7" w:rsidRDefault="00940AA7" w:rsidP="00940AA7">
      <w:pPr>
        <w:spacing w:after="0" w:line="240" w:lineRule="auto"/>
        <w:ind w:left="11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О.В.Редчук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голова батьківського колективу.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940AA7" w:rsidRDefault="00940AA7" w:rsidP="00940AA7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3.Розглядати випадки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відповідно до Положення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 про  порядок розгляду випадків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(цькування)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 закладі дошкільної освіти </w:t>
      </w:r>
      <w:r>
        <w:rPr>
          <w:rFonts w:ascii="Times New Roman" w:hAnsi="Times New Roman" w:cs="Times New Roman"/>
          <w:sz w:val="28"/>
          <w:szCs w:val="28"/>
        </w:rPr>
        <w:t>(дитячий садок)</w:t>
      </w:r>
    </w:p>
    <w:p w:rsidR="00940AA7" w:rsidRDefault="00940AA7" w:rsidP="00940AA7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«Веселка»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Терешківці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Горохівської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Луцького району Волинської області.</w:t>
      </w:r>
    </w:p>
    <w:p w:rsidR="00940AA7" w:rsidRDefault="00940AA7" w:rsidP="00940AA7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1</w:t>
      </w:r>
    </w:p>
    <w:p w:rsidR="00940AA7" w:rsidRDefault="00940AA7" w:rsidP="00940AA7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4.Засідання комісії проводити у випадку письмової заяви керівнику.</w:t>
      </w:r>
    </w:p>
    <w:p w:rsidR="00940AA7" w:rsidRDefault="00940AA7" w:rsidP="00940A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Вихователю: </w:t>
      </w:r>
    </w:p>
    <w:p w:rsidR="00940AA7" w:rsidRDefault="00940AA7" w:rsidP="00940AA7">
      <w:pPr>
        <w:spacing w:after="0" w:line="240" w:lineRule="auto"/>
        <w:ind w:left="2" w:right="83" w:firstLine="1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5.1. Спостерігати за психологічним мікрокліматом у дитячому колективі.</w:t>
      </w:r>
    </w:p>
    <w:p w:rsidR="00940AA7" w:rsidRDefault="00940AA7" w:rsidP="00940AA7">
      <w:pPr>
        <w:spacing w:after="0" w:line="240" w:lineRule="auto"/>
        <w:ind w:left="2" w:right="83" w:firstLine="1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                                                           Протягом навчального року</w:t>
      </w:r>
    </w:p>
    <w:p w:rsidR="00940AA7" w:rsidRDefault="00940AA7" w:rsidP="00940AA7">
      <w:pPr>
        <w:spacing w:after="0" w:line="240" w:lineRule="auto"/>
        <w:ind w:left="2" w:right="83" w:firstLine="1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5.2. Постійно проводити бесіди з дітьми щодо забезпечення попередження насильства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обговорення проблемних ситуацій. </w:t>
      </w:r>
    </w:p>
    <w:p w:rsidR="00940AA7" w:rsidRDefault="00940AA7" w:rsidP="00940AA7">
      <w:pPr>
        <w:spacing w:before="4" w:after="0" w:line="240" w:lineRule="auto"/>
        <w:ind w:left="-2" w:right="135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 Протягом навчального року.</w:t>
      </w:r>
    </w:p>
    <w:p w:rsidR="00940AA7" w:rsidRDefault="00940AA7" w:rsidP="00940AA7">
      <w:pPr>
        <w:spacing w:before="4" w:after="0" w:line="240" w:lineRule="auto"/>
        <w:ind w:left="-2" w:right="135" w:hanging="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5.3. Створювати морально безпечне освітнє середовище ЗДО вільне від насильства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</w:p>
    <w:p w:rsidR="00940AA7" w:rsidRDefault="00940AA7" w:rsidP="00940AA7">
      <w:pPr>
        <w:spacing w:before="9" w:after="0" w:line="240" w:lineRule="auto"/>
        <w:ind w:left="-3" w:right="86" w:hanging="3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 Протягом навчального року</w:t>
      </w:r>
    </w:p>
    <w:p w:rsidR="00940AA7" w:rsidRDefault="00940AA7" w:rsidP="00940AA7">
      <w:pPr>
        <w:spacing w:before="9" w:after="0" w:line="240" w:lineRule="auto"/>
        <w:ind w:left="-3" w:right="86" w:hanging="3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5.4. Організувати роботу скриньки-довіри для батьків та педагогів з проблеми  запобігання та проти дії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940AA7" w:rsidRDefault="00940AA7" w:rsidP="00940AA7">
      <w:pPr>
        <w:spacing w:before="9" w:after="0" w:line="240" w:lineRule="auto"/>
        <w:ind w:left="-3" w:right="86" w:hanging="3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6.Довести до відома всіх працівників про персональну відповідальність за випадки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 їх боку чи спробу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втаємничиення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таких випадків зі сторони працівників та батьків.</w:t>
      </w:r>
    </w:p>
    <w:p w:rsidR="00940AA7" w:rsidRDefault="00940AA7" w:rsidP="00940AA7">
      <w:pPr>
        <w:spacing w:before="9" w:after="0" w:line="240" w:lineRule="auto"/>
        <w:ind w:left="-3" w:right="86" w:hanging="3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7.</w:t>
      </w:r>
      <w:r>
        <w:rPr>
          <w:rFonts w:ascii="Times New Roman" w:eastAsia="Times New Roman" w:hAnsi="Times New Roman" w:cs="Times New Roman"/>
          <w:color w:val="333333"/>
          <w:sz w:val="18"/>
          <w:szCs w:val="1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Оприлюднити на веб-сайті закладу освіти: правила поведінки здобувачів освіти в закладі освіти; план заходів закладу освіти, спрямованих на запобігання та протидію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(цькуванню); Положення про порядок розгляду випадків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(цькування).</w:t>
      </w:r>
    </w:p>
    <w:p w:rsidR="00940AA7" w:rsidRDefault="00940AA7" w:rsidP="00940AA7">
      <w:pPr>
        <w:spacing w:before="9" w:after="0" w:line="240" w:lineRule="auto"/>
        <w:ind w:left="-3" w:right="86" w:hanging="3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         До 13.01.2025р</w:t>
      </w:r>
    </w:p>
    <w:p w:rsidR="00940AA7" w:rsidRDefault="00940AA7" w:rsidP="00940AA7">
      <w:pPr>
        <w:spacing w:before="9" w:after="0" w:line="240" w:lineRule="auto"/>
        <w:ind w:left="-3" w:right="86" w:hanging="3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8. Контроль за виконання цього наказу залишаю за собою.</w:t>
      </w:r>
    </w:p>
    <w:p w:rsidR="00940AA7" w:rsidRDefault="00940AA7" w:rsidP="00940AA7">
      <w:pPr>
        <w:spacing w:before="9" w:after="0" w:line="240" w:lineRule="auto"/>
        <w:ind w:left="-3" w:right="86" w:hanging="3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940AA7" w:rsidRDefault="00940AA7" w:rsidP="00940AA7">
      <w:pPr>
        <w:spacing w:before="9" w:after="0" w:line="240" w:lineRule="auto"/>
        <w:ind w:left="-3" w:right="86" w:hanging="3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Директор                                          Лариса ПОРВАНСЬКА</w:t>
      </w:r>
    </w:p>
    <w:p w:rsidR="00940AA7" w:rsidRDefault="00940AA7" w:rsidP="00940AA7">
      <w:pPr>
        <w:spacing w:before="9" w:after="0" w:line="240" w:lineRule="auto"/>
        <w:ind w:left="-3" w:right="86" w:hanging="3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940AA7" w:rsidRDefault="00940AA7" w:rsidP="00940AA7">
      <w:pPr>
        <w:spacing w:before="9" w:after="0" w:line="240" w:lineRule="auto"/>
        <w:ind w:left="-3" w:right="86" w:hanging="3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 наказом ознайомлені :</w:t>
      </w:r>
    </w:p>
    <w:p w:rsidR="00940AA7" w:rsidRDefault="00940AA7" w:rsidP="00940AA7">
      <w:pPr>
        <w:spacing w:before="9" w:after="0" w:line="240" w:lineRule="auto"/>
        <w:ind w:left="-3" w:right="86" w:hanging="3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940AA7" w:rsidRDefault="00940AA7" w:rsidP="00940AA7">
      <w:pPr>
        <w:spacing w:before="9" w:after="0" w:line="240" w:lineRule="auto"/>
        <w:ind w:left="-3" w:right="86" w:hanging="3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Юлія КАПЛЮК</w:t>
      </w:r>
    </w:p>
    <w:p w:rsidR="00940AA7" w:rsidRDefault="00940AA7" w:rsidP="00940AA7">
      <w:pPr>
        <w:spacing w:before="9" w:after="0" w:line="240" w:lineRule="auto"/>
        <w:ind w:left="-3" w:right="86" w:hanging="3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940AA7" w:rsidRDefault="00940AA7" w:rsidP="00940AA7">
      <w:pPr>
        <w:spacing w:before="9" w:after="0" w:line="240" w:lineRule="auto"/>
        <w:ind w:left="-3" w:right="86" w:hanging="3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Оксана ПАРІЙ</w:t>
      </w:r>
    </w:p>
    <w:p w:rsidR="00940AA7" w:rsidRDefault="00940AA7" w:rsidP="00940AA7">
      <w:pPr>
        <w:spacing w:before="9" w:after="0" w:line="240" w:lineRule="auto"/>
        <w:ind w:left="-3" w:right="86" w:hanging="3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</w:p>
    <w:p w:rsidR="00940AA7" w:rsidRDefault="00940AA7" w:rsidP="00940AA7">
      <w:pPr>
        <w:spacing w:before="9" w:after="0" w:line="240" w:lineRule="auto"/>
        <w:ind w:left="-3" w:right="86" w:hanging="3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Надія ХОМЛЯК</w:t>
      </w:r>
    </w:p>
    <w:p w:rsidR="00940AA7" w:rsidRDefault="00940AA7" w:rsidP="00940AA7">
      <w:pPr>
        <w:spacing w:before="9" w:after="0" w:line="240" w:lineRule="auto"/>
        <w:ind w:left="-3" w:right="86" w:hanging="3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</w:t>
      </w:r>
    </w:p>
    <w:p w:rsidR="00940AA7" w:rsidRDefault="00940AA7" w:rsidP="00940AA7">
      <w:pPr>
        <w:spacing w:before="9" w:after="0" w:line="240" w:lineRule="auto"/>
        <w:ind w:left="-3" w:right="86" w:hanging="3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  </w:t>
      </w:r>
    </w:p>
    <w:p w:rsidR="00940AA7" w:rsidRDefault="00940AA7" w:rsidP="00940AA7">
      <w:pPr>
        <w:spacing w:before="9" w:after="0" w:line="240" w:lineRule="auto"/>
        <w:ind w:left="-3" w:right="86" w:hanging="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40AA7" w:rsidRDefault="00940AA7" w:rsidP="00940AA7">
      <w:pPr>
        <w:spacing w:after="0" w:line="240" w:lineRule="auto"/>
        <w:ind w:left="4" w:right="67" w:hanging="655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940AA7" w:rsidRDefault="00940AA7" w:rsidP="00940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40AA7" w:rsidRDefault="00940AA7" w:rsidP="00940AA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 </w:t>
      </w:r>
    </w:p>
    <w:p w:rsidR="00940AA7" w:rsidRDefault="00940AA7" w:rsidP="00940AA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40AA7" w:rsidRDefault="00940AA7" w:rsidP="00940AA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40AA7" w:rsidRDefault="00940AA7" w:rsidP="00940AA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40AA7" w:rsidRDefault="00940AA7" w:rsidP="00940AA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40AA7" w:rsidRDefault="00940AA7" w:rsidP="00940AA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2</w:t>
      </w:r>
    </w:p>
    <w:p w:rsidR="00940AA7" w:rsidRDefault="00940AA7" w:rsidP="00940AA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ЗАТВЕРДЖЕНО :</w:t>
      </w:r>
    </w:p>
    <w:p w:rsidR="00940AA7" w:rsidRDefault="00940AA7" w:rsidP="00940AA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Наказом директора ЗДО «Веселка»</w:t>
      </w:r>
    </w:p>
    <w:p w:rsidR="00940AA7" w:rsidRDefault="00940AA7" w:rsidP="00940AA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Лариса Порванська</w:t>
      </w:r>
    </w:p>
    <w:p w:rsidR="00940AA7" w:rsidRDefault="00940AA7" w:rsidP="00940AA7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№ 5-о від 08.01.2025р</w:t>
      </w:r>
    </w:p>
    <w:p w:rsidR="00940AA7" w:rsidRDefault="00940AA7" w:rsidP="00940A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заходів</w:t>
      </w:r>
    </w:p>
    <w:p w:rsidR="00940AA7" w:rsidRDefault="00940AA7" w:rsidP="00940A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спрямованих на запобігання та</w:t>
      </w:r>
    </w:p>
    <w:p w:rsidR="00940AA7" w:rsidRDefault="00940AA7" w:rsidP="00940A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протидію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 цькуванню)</w:t>
      </w:r>
    </w:p>
    <w:p w:rsidR="00940AA7" w:rsidRDefault="00940AA7" w:rsidP="00940A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ЗДО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Веселка»с.Терешківці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2025 рік</w:t>
      </w:r>
    </w:p>
    <w:tbl>
      <w:tblPr>
        <w:tblW w:w="9773" w:type="dxa"/>
        <w:tblBorders>
          <w:top w:val="single" w:sz="6" w:space="0" w:color="CCCCCC"/>
          <w:left w:val="single" w:sz="6" w:space="0" w:color="CCCCCC"/>
          <w:bottom w:val="single" w:sz="6" w:space="0" w:color="E9ECEF"/>
          <w:right w:val="single" w:sz="6" w:space="0" w:color="E9ECE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4373"/>
        <w:gridCol w:w="2415"/>
        <w:gridCol w:w="55"/>
        <w:gridCol w:w="2152"/>
      </w:tblGrid>
      <w:tr w:rsidR="00940AA7" w:rsidTr="00940AA7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Заходи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Термін виконання</w:t>
            </w:r>
          </w:p>
        </w:tc>
        <w:tc>
          <w:tcPr>
            <w:tcW w:w="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9ECEF"/>
            </w:tcBorders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6" w:space="0" w:color="E9ECEF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Відповідальні</w:t>
            </w:r>
          </w:p>
        </w:tc>
      </w:tr>
      <w:tr w:rsidR="00940AA7" w:rsidTr="00940AA7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Оновлення та опрацювання нормативно-правових документів, що забезпечують запобігання та протидію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9ECEF"/>
            </w:tcBorders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6" w:space="0" w:color="E9ECEF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вихователь</w:t>
            </w:r>
          </w:p>
        </w:tc>
      </w:tr>
      <w:tr w:rsidR="00940AA7" w:rsidTr="00940AA7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безпечного освітнього середовища в ЗДО вільного від насильства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9ECEF"/>
            </w:tcBorders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6" w:space="0" w:color="E9ECEF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вихователь</w:t>
            </w:r>
          </w:p>
        </w:tc>
      </w:tr>
      <w:tr w:rsidR="00940AA7" w:rsidTr="00940AA7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Надання психолого-педагогічних послуг здобувачам освіти , які вчинили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(цькування), стали його свідками або постраждали від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запитом</w:t>
            </w:r>
          </w:p>
        </w:tc>
        <w:tc>
          <w:tcPr>
            <w:tcW w:w="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9ECEF"/>
            </w:tcBorders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6" w:space="0" w:color="E9ECEF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</w:tr>
      <w:tr w:rsidR="00940AA7" w:rsidTr="00940AA7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Консультація для вихователів: «Як вирішити дитячі конфлікти?»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березень 2025</w:t>
            </w:r>
          </w:p>
        </w:tc>
        <w:tc>
          <w:tcPr>
            <w:tcW w:w="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E9ECEF"/>
            </w:tcBorders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6" w:space="0" w:color="E9ECEF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940AA7" w:rsidTr="00940AA7">
        <w:trPr>
          <w:trHeight w:val="148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Обробка матеріалів «Скриньки довіри» для батьків, педагогів, розгляд на засіданнях педагогічних рад, 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</w:tr>
      <w:tr w:rsidR="00940AA7" w:rsidTr="00940AA7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Невідкладне інформування, уразі виявлення випадку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відповідних органів, визначених Законом України від 18.12.2018 № 2657-VIII«Про внесення змін до деяких законодавчих актів України щодо протидії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(цькуванню)»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разі виявлення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940AA7" w:rsidTr="00940AA7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Виступ на батьківських зборах «Чому діти стають жертвами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 2025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Вихователь </w:t>
            </w:r>
          </w:p>
        </w:tc>
      </w:tr>
      <w:tr w:rsidR="00940AA7" w:rsidTr="00940AA7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та проведення занять та бесід, що формують у дітей уявлення про толерантність по відношенню до різних людей, справедливість, порядність.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вихователь</w:t>
            </w:r>
          </w:p>
        </w:tc>
      </w:tr>
      <w:tr w:rsidR="00940AA7" w:rsidTr="00940AA7">
        <w:trPr>
          <w:trHeight w:val="156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Оновити розділ про профілактику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 і розміщення нормативних документів на Інтернет-сайті закладу освіти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20.01.2025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відповідальна за сайт</w:t>
            </w:r>
          </w:p>
        </w:tc>
      </w:tr>
      <w:tr w:rsidR="00940AA7" w:rsidTr="00940AA7">
        <w:trPr>
          <w:trHeight w:val="156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Активізувати просвітницьку роботу з питань правової освіти серед родин вихованців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вихователь</w:t>
            </w:r>
          </w:p>
        </w:tc>
      </w:tr>
      <w:tr w:rsidR="00940AA7" w:rsidTr="00940AA7">
        <w:tc>
          <w:tcPr>
            <w:tcW w:w="778" w:type="dxa"/>
            <w:tcBorders>
              <w:top w:val="single" w:sz="4" w:space="0" w:color="auto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4" w:space="0" w:color="auto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6" w:space="0" w:color="E9ECEF"/>
              <w:bottom w:val="single" w:sz="6" w:space="0" w:color="E9ECEF"/>
              <w:right w:val="single" w:sz="4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0AA7" w:rsidTr="00940AA7">
        <w:tc>
          <w:tcPr>
            <w:tcW w:w="778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40AA7" w:rsidRDefault="00940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3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40AA7" w:rsidRDefault="00940AA7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2470" w:type="dxa"/>
            <w:gridSpan w:val="2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6" w:space="0" w:color="E9ECEF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40AA7" w:rsidRDefault="00940AA7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  <w:tc>
          <w:tcPr>
            <w:tcW w:w="2152" w:type="dxa"/>
            <w:tcBorders>
              <w:top w:val="single" w:sz="6" w:space="0" w:color="E9ECEF"/>
              <w:left w:val="single" w:sz="6" w:space="0" w:color="E9ECEF"/>
              <w:bottom w:val="single" w:sz="6" w:space="0" w:color="E9ECEF"/>
              <w:right w:val="single" w:sz="4" w:space="0" w:color="auto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940AA7" w:rsidRDefault="00940AA7">
            <w:pPr>
              <w:spacing w:after="0"/>
              <w:rPr>
                <w:sz w:val="20"/>
                <w:szCs w:val="20"/>
                <w:lang w:eastAsia="uk-UA"/>
              </w:rPr>
            </w:pPr>
          </w:p>
        </w:tc>
      </w:tr>
    </w:tbl>
    <w:p w:rsidR="00940AA7" w:rsidRDefault="00940AA7" w:rsidP="00940AA7">
      <w:pPr>
        <w:rPr>
          <w:rFonts w:ascii="Times New Roman" w:hAnsi="Times New Roman" w:cs="Times New Roman"/>
          <w:sz w:val="28"/>
          <w:szCs w:val="28"/>
        </w:rPr>
      </w:pPr>
    </w:p>
    <w:p w:rsidR="00940AA7" w:rsidRDefault="00940AA7" w:rsidP="00940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940AA7" w:rsidRDefault="00940AA7" w:rsidP="00940AA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C7814" w:rsidRDefault="008C7814">
      <w:bookmarkStart w:id="0" w:name="_GoBack"/>
      <w:bookmarkEnd w:id="0"/>
    </w:p>
    <w:sectPr w:rsidR="008C78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9"/>
    <w:rsid w:val="004258D9"/>
    <w:rsid w:val="008C7814"/>
    <w:rsid w:val="0094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557EE-B3F5-4BF7-9CDE-1179EC39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AA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0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3874</Words>
  <Characters>2209</Characters>
  <Application>Microsoft Office Word</Application>
  <DocSecurity>0</DocSecurity>
  <Lines>18</Lines>
  <Paragraphs>12</Paragraphs>
  <ScaleCrop>false</ScaleCrop>
  <Company>SPecialiST RePack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2025-01-28T10:23:00Z</dcterms:created>
  <dcterms:modified xsi:type="dcterms:W3CDTF">2025-01-28T10:23:00Z</dcterms:modified>
</cp:coreProperties>
</file>